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widowControl w:val="0"/>
        <w:snapToGrid w:val="0"/>
        <w:spacing w:before="0" w:beforeAutospacing="0" w:after="0" w:afterAutospacing="0" w:line="600" w:lineRule="exact"/>
        <w:jc w:val="both"/>
        <w:rPr>
          <w:rFonts w:ascii="Times New Roman" w:hAnsi="Times New Roman" w:eastAsia="仿宋_GB2312" w:cs="Times New Roman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附件2</w:t>
      </w:r>
    </w:p>
    <w:p>
      <w:pPr>
        <w:pStyle w:val="20"/>
        <w:spacing w:line="600" w:lineRule="exact"/>
        <w:jc w:val="center"/>
        <w:rPr>
          <w:rFonts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pStyle w:val="20"/>
        <w:spacing w:line="600" w:lineRule="exact"/>
        <w:jc w:val="center"/>
        <w:rPr>
          <w:rFonts w:ascii="方正小标宋_GBK" w:hAnsi="方正小标宋_GBK" w:eastAsia="方正小标宋_GBK" w:cs="方正小标宋_GBK"/>
          <w:color w:val="auto"/>
          <w:sz w:val="40"/>
          <w:szCs w:val="40"/>
        </w:rPr>
      </w:pPr>
      <w:r>
        <w:rPr>
          <w:rFonts w:ascii="方正小标宋_GBK" w:hAnsi="方正小标宋_GBK" w:eastAsia="方正小标宋_GBK" w:cs="方正小标宋_GBK"/>
          <w:color w:val="auto"/>
          <w:sz w:val="40"/>
          <w:szCs w:val="40"/>
        </w:rPr>
        <w:t>2021-2022年</w:t>
      </w:r>
      <w:r>
        <w:rPr>
          <w:rFonts w:hint="eastAsia" w:ascii="方正小标宋_GBK" w:hAnsi="方正小标宋_GBK" w:eastAsia="方正小标宋_GBK" w:cs="方正小标宋_GBK"/>
          <w:color w:val="auto"/>
          <w:sz w:val="40"/>
          <w:szCs w:val="40"/>
        </w:rPr>
        <w:t>湖南省重点研发计划指南</w:t>
      </w:r>
    </w:p>
    <w:p>
      <w:pPr>
        <w:pStyle w:val="20"/>
        <w:spacing w:line="600" w:lineRule="exact"/>
        <w:jc w:val="center"/>
        <w:rPr>
          <w:rFonts w:ascii="方正小标宋_GBK" w:hAnsi="方正小标宋_GBK" w:eastAsia="方正小标宋_GBK" w:cs="方正小标宋_GBK"/>
          <w:color w:val="auto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0"/>
          <w:szCs w:val="40"/>
        </w:rPr>
        <w:t>（农业科技领域）</w:t>
      </w:r>
    </w:p>
    <w:p>
      <w:pPr>
        <w:pStyle w:val="20"/>
        <w:spacing w:line="600" w:lineRule="exact"/>
        <w:ind w:firstLine="640" w:firstLineChars="200"/>
        <w:jc w:val="center"/>
        <w:rPr>
          <w:rFonts w:ascii="Times New Roman" w:hAnsi="Times New Roman" w:eastAsia="方正小标宋简体" w:cs="Times New Roman"/>
          <w:color w:val="auto"/>
          <w:sz w:val="32"/>
          <w:szCs w:val="32"/>
        </w:rPr>
      </w:pPr>
    </w:p>
    <w:p>
      <w:pPr>
        <w:pStyle w:val="15"/>
        <w:spacing w:line="600" w:lineRule="exact"/>
        <w:ind w:firstLine="640" w:firstLineChars="200"/>
        <w:rPr>
          <w:rFonts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</w:rPr>
        <w:t>一、生物育种</w:t>
      </w:r>
    </w:p>
    <w:p>
      <w:pPr>
        <w:pStyle w:val="20"/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color w:val="auto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</w:rPr>
        <w:t xml:space="preserve"> 旱杂粮生物育种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1.1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高产抗病玉米新品种选育及繁育技术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1.2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高产早熟高营养豆类新品种选育及繁育技术</w:t>
      </w:r>
    </w:p>
    <w:p>
      <w:pPr>
        <w:pStyle w:val="20"/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color w:val="auto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</w:rPr>
        <w:t xml:space="preserve"> 林木花草生物育种</w:t>
      </w:r>
    </w:p>
    <w:p>
      <w:pPr>
        <w:pStyle w:val="2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2.1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主要园林花卉新品种选育及繁育技术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2.2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多功能用材树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新品种选育及繁育技术</w:t>
      </w:r>
    </w:p>
    <w:p>
      <w:pPr>
        <w:pStyle w:val="15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2.3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特色草种新品种选育及繁育技术</w:t>
      </w:r>
    </w:p>
    <w:p>
      <w:pPr>
        <w:pStyle w:val="15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2.4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新型木本油料新品种选育技术</w:t>
      </w:r>
    </w:p>
    <w:p>
      <w:pPr>
        <w:pStyle w:val="15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2.5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特色乡土树种新品种选育及繁育技术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color w:val="auto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</w:rPr>
        <w:t xml:space="preserve"> 特色生物育种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3.1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药食同源特色植物新品种选育技术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3.2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虾蟹种质资源创制与优异性状保持技术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3.3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江河大型经济鱼类人工驯养及繁育技术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3.4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工业大麻新品种选育及繁育技术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3.5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优质高抗高产蚕新品种选育及繁育技术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</w:rPr>
        <w:t>二、绿色高效生产技术</w:t>
      </w:r>
    </w:p>
    <w:p>
      <w:pPr>
        <w:pStyle w:val="20"/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color w:val="auto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</w:rPr>
        <w:t xml:space="preserve"> 粮油种植</w:t>
      </w:r>
    </w:p>
    <w:p>
      <w:pPr>
        <w:pStyle w:val="2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4.1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绿色全程机械化水稻生产技术与示范</w:t>
      </w:r>
    </w:p>
    <w:p>
      <w:pPr>
        <w:pStyle w:val="2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4.2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精准化、精细化旱地农作物栽培技术与示范</w:t>
      </w:r>
    </w:p>
    <w:p>
      <w:pPr>
        <w:pStyle w:val="2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4.3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稳粮增油高效耕作制度与应用示范</w:t>
      </w:r>
    </w:p>
    <w:p>
      <w:pPr>
        <w:pStyle w:val="20"/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color w:val="auto"/>
          <w:sz w:val="32"/>
          <w:szCs w:val="32"/>
        </w:rPr>
        <w:t xml:space="preserve">5. 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</w:rPr>
        <w:t>果蔬种植</w:t>
      </w:r>
    </w:p>
    <w:p>
      <w:pPr>
        <w:pStyle w:val="2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5.1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果树病毒快速精准鉴定与无毒种苗快繁技术</w:t>
      </w:r>
    </w:p>
    <w:p>
      <w:pPr>
        <w:pStyle w:val="2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5.2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设施蔬菜精细化栽培技术及标准</w:t>
      </w:r>
    </w:p>
    <w:p>
      <w:pPr>
        <w:pStyle w:val="2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5.3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小黄姜绿色栽培及加工技术与示范</w:t>
      </w:r>
    </w:p>
    <w:p>
      <w:pPr>
        <w:pStyle w:val="2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 xml:space="preserve">5.4 中低产柑橘品种改良提质增效生产技术 </w:t>
      </w:r>
    </w:p>
    <w:p>
      <w:pPr>
        <w:pStyle w:val="20"/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color w:val="auto"/>
          <w:sz w:val="32"/>
          <w:szCs w:val="32"/>
        </w:rPr>
        <w:t xml:space="preserve">6. 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</w:rPr>
        <w:t>林木培育</w:t>
      </w:r>
    </w:p>
    <w:p>
      <w:pPr>
        <w:pStyle w:val="2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6.1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人工林精准高效培育技术与示范</w:t>
      </w:r>
    </w:p>
    <w:p>
      <w:pPr>
        <w:pStyle w:val="2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6.2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特色观赏树种高效栽培技术与示范</w:t>
      </w:r>
    </w:p>
    <w:p>
      <w:pPr>
        <w:pStyle w:val="2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6.3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工业油树种优质高产栽培技术与示范</w:t>
      </w:r>
    </w:p>
    <w:p>
      <w:pPr>
        <w:pStyle w:val="20"/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color w:val="auto"/>
          <w:sz w:val="32"/>
          <w:szCs w:val="32"/>
        </w:rPr>
        <w:t xml:space="preserve">7. 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</w:rPr>
        <w:t>畜禽养殖</w:t>
      </w:r>
    </w:p>
    <w:p>
      <w:pPr>
        <w:pStyle w:val="2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7.1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节粮型生猪生产技术</w:t>
      </w:r>
    </w:p>
    <w:p>
      <w:pPr>
        <w:pStyle w:val="2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7.2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稻田生态高效种养技术与示范</w:t>
      </w:r>
    </w:p>
    <w:p>
      <w:pPr>
        <w:pStyle w:val="2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7.3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生猪健康养殖及猪肉品质提升关键技术</w:t>
      </w:r>
    </w:p>
    <w:p>
      <w:pPr>
        <w:pStyle w:val="2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7.4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草畜动物规模化绿色养殖技术与示范</w:t>
      </w:r>
    </w:p>
    <w:p>
      <w:pPr>
        <w:pStyle w:val="2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7.5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特色优质家禽绿色养殖技术与示范</w:t>
      </w:r>
    </w:p>
    <w:p>
      <w:pPr>
        <w:pStyle w:val="20"/>
        <w:spacing w:line="600" w:lineRule="exact"/>
        <w:ind w:firstLine="643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color w:val="auto"/>
          <w:sz w:val="32"/>
          <w:szCs w:val="32"/>
        </w:rPr>
        <w:t xml:space="preserve">8. 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</w:rPr>
        <w:t>水产养殖</w:t>
      </w:r>
    </w:p>
    <w:p>
      <w:pPr>
        <w:pStyle w:val="2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8.1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池塘健康养殖提质增效技术与示范</w:t>
      </w:r>
    </w:p>
    <w:p>
      <w:pPr>
        <w:pStyle w:val="2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8.2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高效益淡水鱼设施化生态养殖技术</w:t>
      </w:r>
    </w:p>
    <w:p>
      <w:pPr>
        <w:pStyle w:val="2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8.3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龟鳖仿生态高效养殖技术与示范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</w:rPr>
        <w:t>三、高值加工生产技术</w:t>
      </w:r>
    </w:p>
    <w:p>
      <w:pPr>
        <w:pStyle w:val="20"/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color w:val="auto"/>
          <w:sz w:val="32"/>
          <w:szCs w:val="32"/>
        </w:rPr>
        <w:t xml:space="preserve">9. 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</w:rPr>
        <w:t>农产品精深加工</w:t>
      </w:r>
    </w:p>
    <w:p>
      <w:pPr>
        <w:pStyle w:val="2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9.1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水产品精深加工与品控技术</w:t>
      </w:r>
    </w:p>
    <w:p>
      <w:pPr>
        <w:pStyle w:val="2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9.2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植物油脂和蛋白生物转化技术及新产品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9.3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果蔬功能食品制造技术及新产品</w:t>
      </w:r>
    </w:p>
    <w:p>
      <w:pPr>
        <w:pStyle w:val="2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9.4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高品质速溶茶保真提制技术及新产品</w:t>
      </w:r>
    </w:p>
    <w:p>
      <w:pPr>
        <w:pStyle w:val="2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9.5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出口茶提质升级加工技术及新产品</w:t>
      </w:r>
    </w:p>
    <w:p>
      <w:pPr>
        <w:pStyle w:val="2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9.6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传统休闲食品标准化生产技术及新产品</w:t>
      </w:r>
    </w:p>
    <w:p>
      <w:pPr>
        <w:pStyle w:val="20"/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color w:val="auto"/>
          <w:sz w:val="32"/>
          <w:szCs w:val="32"/>
        </w:rPr>
        <w:t xml:space="preserve">10. 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</w:rPr>
        <w:t>农副产品深加工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10.1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米糠精深加工技术与营养食品开发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10.2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预包装湘味菜肴标准化生产技术及新产品</w:t>
      </w:r>
    </w:p>
    <w:p>
      <w:pPr>
        <w:pStyle w:val="2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10.3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水产品加工副产物高值化利用技术</w:t>
      </w:r>
    </w:p>
    <w:p>
      <w:pPr>
        <w:pStyle w:val="2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10.4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农林固体废弃物生物转化技术及新产品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10.5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环保型竹木材料制备及新产品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</w:rPr>
        <w:t>四、现代农业农村支撑技术</w:t>
      </w:r>
    </w:p>
    <w:p>
      <w:pPr>
        <w:pStyle w:val="20"/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color w:val="auto"/>
          <w:sz w:val="32"/>
          <w:szCs w:val="32"/>
        </w:rPr>
        <w:t xml:space="preserve">11. 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</w:rPr>
        <w:t>农业信息化</w:t>
      </w:r>
    </w:p>
    <w:p>
      <w:pPr>
        <w:pStyle w:val="2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11.1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粮油生产全程智能农情信息平台技术</w:t>
      </w:r>
    </w:p>
    <w:p>
      <w:pPr>
        <w:pStyle w:val="2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11.2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农林植物环境监测数据集成与重大灾害预警技术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11.3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设施作物-土壤-环境信息精准管控技术</w:t>
      </w:r>
    </w:p>
    <w:p>
      <w:pPr>
        <w:pStyle w:val="20"/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color w:val="auto"/>
          <w:sz w:val="32"/>
          <w:szCs w:val="32"/>
        </w:rPr>
        <w:t xml:space="preserve">12. 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</w:rPr>
        <w:t>农机装备</w:t>
      </w:r>
    </w:p>
    <w:p>
      <w:pPr>
        <w:pStyle w:val="2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12.1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丘陵山区轻型大马力农作物耕种装备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12.2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自动化水田插秧、侧深精准施肥一体化装备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12.3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机械化智能化油茶果采收装备</w:t>
      </w:r>
    </w:p>
    <w:p>
      <w:pPr>
        <w:pStyle w:val="2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12.4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食用油品快速鉴伪技术及设备</w:t>
      </w:r>
    </w:p>
    <w:p>
      <w:pPr>
        <w:pStyle w:val="2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12.5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高效农业信息感知装备</w:t>
      </w:r>
    </w:p>
    <w:p>
      <w:pPr>
        <w:pStyle w:val="20"/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color w:val="auto"/>
          <w:sz w:val="32"/>
          <w:szCs w:val="32"/>
        </w:rPr>
        <w:t xml:space="preserve">13. 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</w:rPr>
        <w:t>农业病虫害防治</w:t>
      </w:r>
    </w:p>
    <w:p>
      <w:pPr>
        <w:pStyle w:val="2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13.1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作物病虫害生防资源挖掘与防控关键技术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13.2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稻瘟病精准绿色防控关键技术</w:t>
      </w:r>
    </w:p>
    <w:p>
      <w:pPr>
        <w:pStyle w:val="15"/>
        <w:spacing w:line="600" w:lineRule="exact"/>
        <w:ind w:firstLine="640" w:firstLineChars="20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13.3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柑橘黄龙病防控技术</w:t>
      </w:r>
    </w:p>
    <w:p>
      <w:pPr>
        <w:pStyle w:val="2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13.4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畜禽重大疫病净化关键技术</w:t>
      </w:r>
    </w:p>
    <w:p>
      <w:pPr>
        <w:pStyle w:val="2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13.5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水生动物重要疫病分子免疫技术与疫苗创制</w:t>
      </w:r>
    </w:p>
    <w:p>
      <w:pPr>
        <w:pStyle w:val="2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13.6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松材线虫病控防技术</w:t>
      </w:r>
    </w:p>
    <w:p>
      <w:pPr>
        <w:pStyle w:val="20"/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color w:val="auto"/>
          <w:sz w:val="32"/>
          <w:szCs w:val="32"/>
        </w:rPr>
        <w:t xml:space="preserve">14.  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</w:rPr>
        <w:t>农业资源与生态修复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14.1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酸化耕地土壤治理技术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14.2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中低产田土壤质量提升技术</w:t>
      </w:r>
    </w:p>
    <w:p>
      <w:pPr>
        <w:pStyle w:val="2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14.3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中药材连作障碍修复技术</w:t>
      </w:r>
    </w:p>
    <w:p>
      <w:pPr>
        <w:pStyle w:val="2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14.4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病死畜禽绿色无害化处理技术</w:t>
      </w:r>
    </w:p>
    <w:p>
      <w:pPr>
        <w:pStyle w:val="2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14.5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水产养殖废水生态净化循环利用技术</w:t>
      </w:r>
    </w:p>
    <w:p>
      <w:pPr>
        <w:pStyle w:val="2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14.6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流域农业面源污染综合治理技术</w:t>
      </w:r>
    </w:p>
    <w:p>
      <w:pPr>
        <w:pStyle w:val="2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14.7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森林碳汇中和技术</w:t>
      </w:r>
    </w:p>
    <w:p>
      <w:pPr>
        <w:pStyle w:val="2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14.8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生物碳减量施肥生态循环技术</w:t>
      </w:r>
    </w:p>
    <w:p>
      <w:pPr>
        <w:pStyle w:val="20"/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bCs/>
          <w:color w:val="auto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b/>
          <w:bCs/>
          <w:color w:val="auto"/>
          <w:sz w:val="32"/>
          <w:szCs w:val="32"/>
        </w:rPr>
        <w:t xml:space="preserve">15. 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</w:rPr>
        <w:t>农业投入品</w:t>
      </w:r>
    </w:p>
    <w:p>
      <w:pPr>
        <w:pStyle w:val="2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15.1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安全高效生物农药生产技术及新产品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15.2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新型功能微生物肥料生产技术及新产品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15.3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水产优质专用饲料生产技术及新产品</w:t>
      </w:r>
    </w:p>
    <w:p>
      <w:pPr>
        <w:pStyle w:val="20"/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color w:val="auto"/>
          <w:sz w:val="32"/>
          <w:szCs w:val="32"/>
        </w:rPr>
        <w:t xml:space="preserve">16. 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</w:rPr>
        <w:t>农产品质量安全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16.1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果蔬采后商品化处理及绿色贮运保鲜技术</w:t>
      </w:r>
    </w:p>
    <w:p>
      <w:pPr>
        <w:pStyle w:val="15"/>
        <w:spacing w:line="600" w:lineRule="exact"/>
        <w:ind w:firstLine="640" w:firstLineChars="20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16.2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畜禽水产鲜肉绿色保鲜、冷链贮运等技术</w:t>
      </w:r>
    </w:p>
    <w:p>
      <w:pPr>
        <w:pStyle w:val="2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16.3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农产品农兽药残留快速检测关键技术及设备</w:t>
      </w:r>
    </w:p>
    <w:p>
      <w:pPr>
        <w:pStyle w:val="20"/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color w:val="auto"/>
          <w:sz w:val="32"/>
          <w:szCs w:val="32"/>
        </w:rPr>
        <w:t xml:space="preserve">17. 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</w:rPr>
        <w:t>乡村振兴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17.1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乡村旅游产品质量安全控制技术</w:t>
      </w:r>
    </w:p>
    <w:p>
      <w:pPr>
        <w:pStyle w:val="2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17.2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乡村生态景观风貌保护与营造技术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</w:rPr>
        <w:t>五、其他</w:t>
      </w:r>
    </w:p>
    <w:p>
      <w:pPr>
        <w:pStyle w:val="20"/>
        <w:spacing w:line="600" w:lineRule="exact"/>
        <w:ind w:firstLine="643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  <w:sectPr>
          <w:footerReference r:id="rId3" w:type="default"/>
          <w:pgSz w:w="11906" w:h="16838"/>
          <w:pgMar w:top="1361" w:right="1029" w:bottom="1361" w:left="1417" w:header="851" w:footer="992" w:gutter="0"/>
          <w:cols w:space="0" w:num="1"/>
          <w:docGrid w:type="lines" w:linePitch="312" w:charSpace="0"/>
        </w:sect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</w:rPr>
        <w:t>以上指南未提及，但属于“卡脖子”重大关键核心技术、前沿颠覆性技术的研发可列入申报范围</w:t>
      </w:r>
    </w:p>
    <w:p>
      <w:pPr>
        <w:pStyle w:val="15"/>
        <w:spacing w:line="600" w:lineRule="exact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sectPr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left" w:pos="3975"/>
      </w:tabs>
      <w:rPr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5445125</wp:posOffset>
              </wp:positionH>
              <wp:positionV relativeFrom="paragraph">
                <wp:posOffset>0</wp:posOffset>
              </wp:positionV>
              <wp:extent cx="561975" cy="1828800"/>
              <wp:effectExtent l="0" t="0" r="0" b="0"/>
              <wp:wrapNone/>
              <wp:docPr id="2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97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13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squar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" o:spid="_x0000_s1026" o:spt="202" type="#_x0000_t202" style="position:absolute;left:0pt;margin-left:428.75pt;margin-top:0pt;height:144pt;width:44.25pt;mso-position-horizontal-relative:margin;z-index:251658240;mso-width-relative:page;mso-height-relative:page;" filled="f" stroked="f" coordsize="21600,21600" o:gfxdata="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IOVrLXAAAACAEAAA8AAAAAAAAAAQAgAAAAIgAAAGRycy9kb3ducmV2LnhtbFBL&#10;AQIUABQAAAAIAIdO4kAYsYl1vgEAAFYDAAAOAAAAAAAAAAEAIAAAACYBAABkcnMvZTJvRG9jLnht&#10;bFBLBQYAAAAABgAGAFkBAABW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13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AC"/>
    <w:rsid w:val="00055B42"/>
    <w:rsid w:val="000A6A6A"/>
    <w:rsid w:val="000A70F2"/>
    <w:rsid w:val="001001B0"/>
    <w:rsid w:val="00154D55"/>
    <w:rsid w:val="00195336"/>
    <w:rsid w:val="001C5CC2"/>
    <w:rsid w:val="001F38AF"/>
    <w:rsid w:val="00220B36"/>
    <w:rsid w:val="00243453"/>
    <w:rsid w:val="002718AF"/>
    <w:rsid w:val="002A780E"/>
    <w:rsid w:val="002F6313"/>
    <w:rsid w:val="00304047"/>
    <w:rsid w:val="003154D7"/>
    <w:rsid w:val="003351F4"/>
    <w:rsid w:val="00452E81"/>
    <w:rsid w:val="00453C39"/>
    <w:rsid w:val="00533A72"/>
    <w:rsid w:val="005A6C9E"/>
    <w:rsid w:val="005E5740"/>
    <w:rsid w:val="005F16A6"/>
    <w:rsid w:val="0060634F"/>
    <w:rsid w:val="00647C84"/>
    <w:rsid w:val="00656CBE"/>
    <w:rsid w:val="006A79E8"/>
    <w:rsid w:val="006C464B"/>
    <w:rsid w:val="006D2212"/>
    <w:rsid w:val="00707FAC"/>
    <w:rsid w:val="007127E1"/>
    <w:rsid w:val="00776F1E"/>
    <w:rsid w:val="007D41C4"/>
    <w:rsid w:val="0088220B"/>
    <w:rsid w:val="008A088E"/>
    <w:rsid w:val="008C1908"/>
    <w:rsid w:val="00925063"/>
    <w:rsid w:val="00927CFA"/>
    <w:rsid w:val="00937FE2"/>
    <w:rsid w:val="009C0B47"/>
    <w:rsid w:val="009E6C1C"/>
    <w:rsid w:val="00A1703A"/>
    <w:rsid w:val="00A212BB"/>
    <w:rsid w:val="00AB0FE3"/>
    <w:rsid w:val="00BF0E5A"/>
    <w:rsid w:val="00BF1E3D"/>
    <w:rsid w:val="00C0370C"/>
    <w:rsid w:val="00C245B0"/>
    <w:rsid w:val="00C51C4D"/>
    <w:rsid w:val="00CB1B46"/>
    <w:rsid w:val="00D27B78"/>
    <w:rsid w:val="00D33E43"/>
    <w:rsid w:val="00D536E4"/>
    <w:rsid w:val="00D672B4"/>
    <w:rsid w:val="00D75424"/>
    <w:rsid w:val="00D75992"/>
    <w:rsid w:val="00D82277"/>
    <w:rsid w:val="00DF200E"/>
    <w:rsid w:val="00E32E56"/>
    <w:rsid w:val="00E378B1"/>
    <w:rsid w:val="00ED5149"/>
    <w:rsid w:val="00F43910"/>
    <w:rsid w:val="00F47457"/>
    <w:rsid w:val="00F67204"/>
    <w:rsid w:val="00F72480"/>
    <w:rsid w:val="00F864DD"/>
    <w:rsid w:val="017964B9"/>
    <w:rsid w:val="03104C4F"/>
    <w:rsid w:val="031D19D3"/>
    <w:rsid w:val="046B0CB0"/>
    <w:rsid w:val="04CC10D1"/>
    <w:rsid w:val="054B31C3"/>
    <w:rsid w:val="05BE763E"/>
    <w:rsid w:val="070D3936"/>
    <w:rsid w:val="07AE082A"/>
    <w:rsid w:val="07C87E52"/>
    <w:rsid w:val="085A6CCF"/>
    <w:rsid w:val="09AF65D8"/>
    <w:rsid w:val="0B945979"/>
    <w:rsid w:val="0C22771F"/>
    <w:rsid w:val="0C79313C"/>
    <w:rsid w:val="0E836B4A"/>
    <w:rsid w:val="0F450AA8"/>
    <w:rsid w:val="10AC3B61"/>
    <w:rsid w:val="11C8179A"/>
    <w:rsid w:val="13DF427E"/>
    <w:rsid w:val="14565286"/>
    <w:rsid w:val="14585E5E"/>
    <w:rsid w:val="14EF1875"/>
    <w:rsid w:val="14F04CBA"/>
    <w:rsid w:val="161F0DEA"/>
    <w:rsid w:val="16380A18"/>
    <w:rsid w:val="166D3FE5"/>
    <w:rsid w:val="174E0DC3"/>
    <w:rsid w:val="17810143"/>
    <w:rsid w:val="18024B0D"/>
    <w:rsid w:val="18B77192"/>
    <w:rsid w:val="1A43386B"/>
    <w:rsid w:val="1A5E132F"/>
    <w:rsid w:val="1A994637"/>
    <w:rsid w:val="1AD35C2B"/>
    <w:rsid w:val="1BCE6E81"/>
    <w:rsid w:val="1D865C53"/>
    <w:rsid w:val="1ED72F13"/>
    <w:rsid w:val="1F9A7A60"/>
    <w:rsid w:val="20211A77"/>
    <w:rsid w:val="20C7655C"/>
    <w:rsid w:val="20DB7FAC"/>
    <w:rsid w:val="20F13E41"/>
    <w:rsid w:val="21C22FA6"/>
    <w:rsid w:val="21DE6ED2"/>
    <w:rsid w:val="22F47F0E"/>
    <w:rsid w:val="24710D90"/>
    <w:rsid w:val="25044046"/>
    <w:rsid w:val="261779B0"/>
    <w:rsid w:val="27D92C95"/>
    <w:rsid w:val="28083E0B"/>
    <w:rsid w:val="284B22EE"/>
    <w:rsid w:val="286F71A1"/>
    <w:rsid w:val="28831270"/>
    <w:rsid w:val="28A7536D"/>
    <w:rsid w:val="29476E72"/>
    <w:rsid w:val="2A9D29DC"/>
    <w:rsid w:val="2B2E1C41"/>
    <w:rsid w:val="2B760B77"/>
    <w:rsid w:val="2B8D5DC6"/>
    <w:rsid w:val="2C487C2A"/>
    <w:rsid w:val="2C5E3453"/>
    <w:rsid w:val="2D6B5AB6"/>
    <w:rsid w:val="2EC72712"/>
    <w:rsid w:val="2EF848BC"/>
    <w:rsid w:val="30054467"/>
    <w:rsid w:val="30355248"/>
    <w:rsid w:val="30DC2392"/>
    <w:rsid w:val="320C5B67"/>
    <w:rsid w:val="32783673"/>
    <w:rsid w:val="33775706"/>
    <w:rsid w:val="337F3946"/>
    <w:rsid w:val="343F7498"/>
    <w:rsid w:val="352066CF"/>
    <w:rsid w:val="353F3B9C"/>
    <w:rsid w:val="35830718"/>
    <w:rsid w:val="35FB74F7"/>
    <w:rsid w:val="374F3A41"/>
    <w:rsid w:val="37D00A24"/>
    <w:rsid w:val="391354CB"/>
    <w:rsid w:val="397752F3"/>
    <w:rsid w:val="39796E44"/>
    <w:rsid w:val="39807B91"/>
    <w:rsid w:val="39B42E36"/>
    <w:rsid w:val="3BC127B3"/>
    <w:rsid w:val="3BC208D3"/>
    <w:rsid w:val="3BFF124A"/>
    <w:rsid w:val="3CCF1326"/>
    <w:rsid w:val="3CEC2994"/>
    <w:rsid w:val="3D2932E8"/>
    <w:rsid w:val="3E472642"/>
    <w:rsid w:val="3EE65434"/>
    <w:rsid w:val="3F3F28D1"/>
    <w:rsid w:val="3FD64F9F"/>
    <w:rsid w:val="40A47155"/>
    <w:rsid w:val="40C44A28"/>
    <w:rsid w:val="412D4208"/>
    <w:rsid w:val="41C94445"/>
    <w:rsid w:val="41F00BEC"/>
    <w:rsid w:val="427746EB"/>
    <w:rsid w:val="42C21BB3"/>
    <w:rsid w:val="437C3186"/>
    <w:rsid w:val="43914FF0"/>
    <w:rsid w:val="449825C2"/>
    <w:rsid w:val="44AD5AFC"/>
    <w:rsid w:val="44FF47A4"/>
    <w:rsid w:val="457A0B8D"/>
    <w:rsid w:val="45B52A7B"/>
    <w:rsid w:val="470D1925"/>
    <w:rsid w:val="47810B41"/>
    <w:rsid w:val="487503D2"/>
    <w:rsid w:val="491B6CF5"/>
    <w:rsid w:val="49FE3290"/>
    <w:rsid w:val="4B23325A"/>
    <w:rsid w:val="4DD827A3"/>
    <w:rsid w:val="4F1E683F"/>
    <w:rsid w:val="526319B3"/>
    <w:rsid w:val="5492276E"/>
    <w:rsid w:val="55605AB4"/>
    <w:rsid w:val="55872393"/>
    <w:rsid w:val="570A3442"/>
    <w:rsid w:val="57F77295"/>
    <w:rsid w:val="58A44F12"/>
    <w:rsid w:val="592E2B15"/>
    <w:rsid w:val="5AED1C09"/>
    <w:rsid w:val="5CFC7479"/>
    <w:rsid w:val="5F0A0825"/>
    <w:rsid w:val="5F5150AD"/>
    <w:rsid w:val="60B80E03"/>
    <w:rsid w:val="61423B5B"/>
    <w:rsid w:val="616D4FEB"/>
    <w:rsid w:val="61862B20"/>
    <w:rsid w:val="62B96F5E"/>
    <w:rsid w:val="62E53EDC"/>
    <w:rsid w:val="630E6B47"/>
    <w:rsid w:val="659B6147"/>
    <w:rsid w:val="66A0361E"/>
    <w:rsid w:val="66E422E4"/>
    <w:rsid w:val="66FF6EDD"/>
    <w:rsid w:val="695659F7"/>
    <w:rsid w:val="6BBF19F3"/>
    <w:rsid w:val="6BFC6718"/>
    <w:rsid w:val="6C19661C"/>
    <w:rsid w:val="6C4A402E"/>
    <w:rsid w:val="6C771BAD"/>
    <w:rsid w:val="6CA178F4"/>
    <w:rsid w:val="6F620711"/>
    <w:rsid w:val="6F8A5970"/>
    <w:rsid w:val="6FA21FA0"/>
    <w:rsid w:val="6FA23FC5"/>
    <w:rsid w:val="70D67C9A"/>
    <w:rsid w:val="716C0195"/>
    <w:rsid w:val="717B3ABE"/>
    <w:rsid w:val="719D666F"/>
    <w:rsid w:val="71EB0C80"/>
    <w:rsid w:val="72AC722E"/>
    <w:rsid w:val="73D11E05"/>
    <w:rsid w:val="73EC1235"/>
    <w:rsid w:val="745E7648"/>
    <w:rsid w:val="74823958"/>
    <w:rsid w:val="74EB5E02"/>
    <w:rsid w:val="7591662D"/>
    <w:rsid w:val="76FE0B36"/>
    <w:rsid w:val="77714A62"/>
    <w:rsid w:val="778B498A"/>
    <w:rsid w:val="77A900DF"/>
    <w:rsid w:val="77F56037"/>
    <w:rsid w:val="78DF3E20"/>
    <w:rsid w:val="7A91255E"/>
    <w:rsid w:val="7AC07C08"/>
    <w:rsid w:val="7BFF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qFormat="1"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line="416" w:lineRule="auto"/>
      <w:outlineLvl w:val="1"/>
    </w:pPr>
    <w:rPr>
      <w:rFonts w:ascii="Calibri Light" w:hAnsi="Calibri Light" w:eastAsia="宋体" w:cs="Calibri Light"/>
      <w:b/>
      <w:bCs/>
      <w:sz w:val="32"/>
      <w:szCs w:val="32"/>
    </w:rPr>
  </w:style>
  <w:style w:type="character" w:default="1" w:styleId="12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1"/>
    <w:basedOn w:val="1"/>
    <w:next w:val="1"/>
    <w:qFormat/>
    <w:uiPriority w:val="0"/>
    <w:pPr>
      <w:spacing w:before="100" w:beforeAutospacing="1" w:after="100" w:afterAutospacing="1"/>
      <w:jc w:val="left"/>
      <w:textAlignment w:val="baseline"/>
    </w:pPr>
    <w:rPr>
      <w:rFonts w:ascii="宋体" w:hAnsi="宋体" w:eastAsia="宋体" w:cs="Times New Roman"/>
      <w:b/>
      <w:kern w:val="44"/>
      <w:sz w:val="48"/>
      <w:szCs w:val="48"/>
    </w:rPr>
  </w:style>
  <w:style w:type="paragraph" w:styleId="5">
    <w:name w:val="annotation text"/>
    <w:basedOn w:val="1"/>
    <w:unhideWhenUsed/>
    <w:qFormat/>
    <w:uiPriority w:val="99"/>
    <w:pPr>
      <w:jc w:val="left"/>
    </w:pPr>
  </w:style>
  <w:style w:type="paragraph" w:styleId="6">
    <w:name w:val="endnote text"/>
    <w:basedOn w:val="1"/>
    <w:unhideWhenUsed/>
    <w:qFormat/>
    <w:uiPriority w:val="99"/>
  </w:style>
  <w:style w:type="paragraph" w:styleId="7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8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3">
    <w:name w:val="page number"/>
    <w:basedOn w:val="12"/>
    <w:unhideWhenUsed/>
    <w:qFormat/>
    <w:uiPriority w:val="99"/>
  </w:style>
  <w:style w:type="character" w:styleId="14">
    <w:name w:val="Hyperlink"/>
    <w:basedOn w:val="12"/>
    <w:unhideWhenUsed/>
    <w:qFormat/>
    <w:uiPriority w:val="99"/>
    <w:rPr>
      <w:color w:val="0000FF"/>
      <w:u w:val="single"/>
    </w:rPr>
  </w:style>
  <w:style w:type="paragraph" w:customStyle="1" w:styleId="15">
    <w:name w:val="EndnoteText"/>
    <w:basedOn w:val="1"/>
    <w:qFormat/>
    <w:uiPriority w:val="0"/>
  </w:style>
  <w:style w:type="character" w:customStyle="1" w:styleId="16">
    <w:name w:val="fontstyle01"/>
    <w:basedOn w:val="12"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17">
    <w:name w:val="fontstyle21"/>
    <w:basedOn w:val="12"/>
    <w:qFormat/>
    <w:uiPriority w:val="0"/>
    <w:rPr>
      <w:rFonts w:hint="default" w:ascii="TimesNewRomanPSMT" w:hAnsi="TimesNewRomanPSMT"/>
      <w:color w:val="000000"/>
      <w:sz w:val="32"/>
      <w:szCs w:val="32"/>
    </w:rPr>
  </w:style>
  <w:style w:type="character" w:customStyle="1" w:styleId="18">
    <w:name w:val="fontstyle31"/>
    <w:basedOn w:val="12"/>
    <w:qFormat/>
    <w:uiPriority w:val="0"/>
    <w:rPr>
      <w:rFonts w:hint="eastAsia" w:ascii="宋体" w:hAnsi="宋体" w:eastAsia="宋体"/>
      <w:color w:val="000000"/>
      <w:sz w:val="28"/>
      <w:szCs w:val="28"/>
    </w:rPr>
  </w:style>
  <w:style w:type="paragraph" w:customStyle="1" w:styleId="19">
    <w:name w:val="列出段落1"/>
    <w:basedOn w:val="1"/>
    <w:qFormat/>
    <w:uiPriority w:val="34"/>
    <w:pPr>
      <w:ind w:firstLine="420" w:firstLineChars="200"/>
    </w:pPr>
  </w:style>
  <w:style w:type="paragraph" w:customStyle="1" w:styleId="20">
    <w:name w:val="样式 文字 + 首行缩进:  2 字符3"/>
    <w:basedOn w:val="1"/>
    <w:qFormat/>
    <w:uiPriority w:val="0"/>
    <w:pPr>
      <w:spacing w:line="360" w:lineRule="auto"/>
      <w:jc w:val="left"/>
    </w:pPr>
    <w:rPr>
      <w:sz w:val="28"/>
      <w:szCs w:val="28"/>
    </w:rPr>
  </w:style>
  <w:style w:type="character" w:customStyle="1" w:styleId="21">
    <w:name w:val="批注框文本 Char"/>
    <w:basedOn w:val="12"/>
    <w:link w:val="7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CDC7B5-2405-4C9A-A0E0-3476AFE5F6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26</Pages>
  <Words>8547</Words>
  <Characters>9546</Characters>
  <Lines>95</Lines>
  <Paragraphs>26</Paragraphs>
  <TotalTime>2</TotalTime>
  <ScaleCrop>false</ScaleCrop>
  <LinksUpToDate>false</LinksUpToDate>
  <CharactersWithSpaces>9911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2021-01-12T07:02:00Z</dcterms:created>
  <dc:creator>张小平</dc:creator>
  <cp:lastModifiedBy>刘泉江</cp:lastModifiedBy>
  <cp:lastPrinted>2021-03-10T01:57:00Z</cp:lastPrinted>
  <dcterms:modified xsi:type="dcterms:W3CDTF">2021-03-11T09:32:50Z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